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7F052" w14:textId="77777777" w:rsidR="00BE16A5" w:rsidRDefault="00BC568D" w:rsidP="008E502E">
      <w:pPr>
        <w:jc w:val="center"/>
        <w:rPr>
          <w:rFonts w:ascii="Arial Black" w:hAnsi="Arial Black"/>
          <w:b/>
          <w:color w:val="990033"/>
          <w:sz w:val="40"/>
          <w:szCs w:val="44"/>
          <w14:textOutline w14:w="0" w14:cap="flat" w14:cmpd="sng" w14:algn="ctr">
            <w14:noFill/>
            <w14:prstDash w14:val="solid"/>
            <w14:round/>
          </w14:textOutline>
          <w14:props3d w14:extrusionH="57150" w14:contourW="0" w14:prstMaterial="softEdge">
            <w14:bevelT w14:w="25400" w14:h="38100" w14:prst="circle"/>
          </w14:props3d>
        </w:rPr>
      </w:pPr>
      <w:r>
        <w:rPr>
          <w:noProof/>
        </w:rPr>
        <w:drawing>
          <wp:inline distT="0" distB="0" distL="0" distR="0" wp14:anchorId="2AE3E45F" wp14:editId="03BCD526">
            <wp:extent cx="5274310" cy="1430655"/>
            <wp:effectExtent l="0" t="0" r="2540" b="0"/>
            <wp:docPr id="105929485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430655"/>
                    </a:xfrm>
                    <a:prstGeom prst="rect">
                      <a:avLst/>
                    </a:prstGeom>
                    <a:noFill/>
                    <a:ln>
                      <a:noFill/>
                    </a:ln>
                  </pic:spPr>
                </pic:pic>
              </a:graphicData>
            </a:graphic>
          </wp:inline>
        </w:drawing>
      </w:r>
    </w:p>
    <w:p w14:paraId="594B277E" w14:textId="77777777" w:rsidR="008E502E" w:rsidRPr="008E502E" w:rsidRDefault="008E502E" w:rsidP="008E502E">
      <w:pPr>
        <w:jc w:val="center"/>
        <w:rPr>
          <w:rFonts w:ascii="Arial Black" w:hAnsi="Arial Black"/>
          <w:b/>
          <w:color w:val="990033"/>
          <w:sz w:val="40"/>
          <w:szCs w:val="44"/>
          <w14:textOutline w14:w="0" w14:cap="flat" w14:cmpd="sng" w14:algn="ctr">
            <w14:noFill/>
            <w14:prstDash w14:val="solid"/>
            <w14:round/>
          </w14:textOutline>
          <w14:props3d w14:extrusionH="57150" w14:contourW="0" w14:prstMaterial="softEdge">
            <w14:bevelT w14:w="25400" w14:h="38100" w14:prst="circle"/>
          </w14:props3d>
        </w:rPr>
      </w:pPr>
      <w:r w:rsidRPr="008E502E">
        <w:rPr>
          <w:rFonts w:ascii="Arial Black" w:hAnsi="Arial Black"/>
          <w:b/>
          <w:color w:val="990033"/>
          <w:sz w:val="40"/>
          <w:szCs w:val="44"/>
          <w14:textOutline w14:w="0" w14:cap="flat" w14:cmpd="sng" w14:algn="ctr">
            <w14:noFill/>
            <w14:prstDash w14:val="solid"/>
            <w14:round/>
          </w14:textOutline>
          <w14:props3d w14:extrusionH="57150" w14:contourW="0" w14:prstMaterial="softEdge">
            <w14:bevelT w14:w="25400" w14:h="38100" w14:prst="circle"/>
          </w14:props3d>
        </w:rPr>
        <w:t>16</w:t>
      </w:r>
      <w:r w:rsidRPr="008E502E">
        <w:rPr>
          <w:rFonts w:ascii="Arial Black" w:hAnsi="Arial Black"/>
          <w:b/>
          <w:color w:val="990033"/>
          <w:sz w:val="40"/>
          <w:szCs w:val="44"/>
          <w:vertAlign w:val="superscript"/>
          <w14:textOutline w14:w="0" w14:cap="flat" w14:cmpd="sng" w14:algn="ctr">
            <w14:noFill/>
            <w14:prstDash w14:val="solid"/>
            <w14:round/>
          </w14:textOutline>
          <w14:props3d w14:extrusionH="57150" w14:contourW="0" w14:prstMaterial="softEdge">
            <w14:bevelT w14:w="25400" w14:h="38100" w14:prst="circle"/>
          </w14:props3d>
        </w:rPr>
        <w:t>th</w:t>
      </w:r>
      <w:r w:rsidRPr="008E502E">
        <w:rPr>
          <w:rFonts w:ascii="Arial Black" w:hAnsi="Arial Black"/>
          <w:b/>
          <w:color w:val="990033"/>
          <w:sz w:val="40"/>
          <w:szCs w:val="44"/>
          <w14:textOutline w14:w="0" w14:cap="flat" w14:cmpd="sng" w14:algn="ctr">
            <w14:noFill/>
            <w14:prstDash w14:val="solid"/>
            <w14:round/>
          </w14:textOutline>
          <w14:props3d w14:extrusionH="57150" w14:contourW="0" w14:prstMaterial="softEdge">
            <w14:bevelT w14:w="25400" w14:h="38100" w14:prst="circle"/>
          </w14:props3d>
        </w:rPr>
        <w:t xml:space="preserve"> General Assembly of </w:t>
      </w:r>
    </w:p>
    <w:p w14:paraId="33370556" w14:textId="77777777" w:rsidR="008E502E" w:rsidRPr="008E502E" w:rsidRDefault="008E502E" w:rsidP="008E502E">
      <w:pPr>
        <w:jc w:val="center"/>
        <w:rPr>
          <w:rFonts w:ascii="Arial Black" w:hAnsi="Arial Black"/>
          <w:b/>
          <w:color w:val="990033"/>
          <w:sz w:val="40"/>
          <w:szCs w:val="44"/>
          <w14:textOutline w14:w="0" w14:cap="flat" w14:cmpd="sng" w14:algn="ctr">
            <w14:noFill/>
            <w14:prstDash w14:val="solid"/>
            <w14:round/>
          </w14:textOutline>
          <w14:props3d w14:extrusionH="57150" w14:contourW="0" w14:prstMaterial="softEdge">
            <w14:bevelT w14:w="25400" w14:h="38100" w14:prst="circle"/>
          </w14:props3d>
        </w:rPr>
      </w:pPr>
      <w:r w:rsidRPr="008E502E">
        <w:rPr>
          <w:rFonts w:ascii="Arial Black" w:hAnsi="Arial Black"/>
          <w:b/>
          <w:color w:val="990033"/>
          <w:sz w:val="40"/>
          <w:szCs w:val="44"/>
          <w14:textOutline w14:w="0" w14:cap="flat" w14:cmpd="sng" w14:algn="ctr">
            <w14:noFill/>
            <w14:prstDash w14:val="solid"/>
            <w14:round/>
          </w14:textOutline>
          <w14:props3d w14:extrusionH="57150" w14:contourW="0" w14:prstMaterial="softEdge">
            <w14:bevelT w14:w="25400" w14:h="38100" w14:prst="circle"/>
          </w14:props3d>
        </w:rPr>
        <w:t>Asian Seismological Commission</w:t>
      </w:r>
    </w:p>
    <w:p w14:paraId="60D471AF" w14:textId="77777777" w:rsidR="008E502E" w:rsidRPr="008E502E" w:rsidRDefault="008E502E" w:rsidP="008E502E">
      <w:pPr>
        <w:jc w:val="center"/>
        <w:rPr>
          <w:rFonts w:ascii="Arial Black" w:hAnsi="Arial Black"/>
          <w:b/>
          <w:color w:val="002060"/>
          <w:sz w:val="32"/>
          <w:szCs w:val="36"/>
          <w14:textOutline w14:w="0" w14:cap="flat" w14:cmpd="sng" w14:algn="ctr">
            <w14:noFill/>
            <w14:prstDash w14:val="solid"/>
            <w14:round/>
          </w14:textOutline>
          <w14:props3d w14:extrusionH="57150" w14:contourW="0" w14:prstMaterial="softEdge">
            <w14:bevelT w14:w="25400" w14:h="38100" w14:prst="circle"/>
          </w14:props3d>
        </w:rPr>
      </w:pPr>
      <w:r w:rsidRPr="008E502E">
        <w:rPr>
          <w:rFonts w:ascii="Arial Black" w:hAnsi="Arial Black" w:hint="eastAsia"/>
          <w:b/>
          <w:color w:val="002060"/>
          <w:sz w:val="32"/>
          <w:szCs w:val="36"/>
          <w14:textOutline w14:w="0" w14:cap="flat" w14:cmpd="sng" w14:algn="ctr">
            <w14:noFill/>
            <w14:prstDash w14:val="solid"/>
            <w14:round/>
          </w14:textOutline>
          <w14:props3d w14:extrusionH="57150" w14:contourW="0" w14:prstMaterial="softEdge">
            <w14:bevelT w14:w="25400" w14:h="38100" w14:prst="circle"/>
          </w14:props3d>
        </w:rPr>
        <w:t>April 25-30, 2026</w:t>
      </w:r>
    </w:p>
    <w:p w14:paraId="511A1E51" w14:textId="77777777" w:rsidR="008E502E" w:rsidRPr="008E502E" w:rsidRDefault="008E502E" w:rsidP="008E502E">
      <w:pPr>
        <w:jc w:val="center"/>
        <w:rPr>
          <w:rFonts w:ascii="Arial Black" w:hAnsi="Arial Black"/>
          <w:b/>
          <w:color w:val="002060"/>
          <w:sz w:val="32"/>
          <w:szCs w:val="36"/>
          <w14:textOutline w14:w="0" w14:cap="flat" w14:cmpd="sng" w14:algn="ctr">
            <w14:noFill/>
            <w14:prstDash w14:val="solid"/>
            <w14:round/>
          </w14:textOutline>
          <w14:props3d w14:extrusionH="57150" w14:contourW="0" w14:prstMaterial="softEdge">
            <w14:bevelT w14:w="25400" w14:h="38100" w14:prst="circle"/>
          </w14:props3d>
        </w:rPr>
      </w:pPr>
      <w:r w:rsidRPr="008E502E">
        <w:rPr>
          <w:rFonts w:ascii="Arial Black" w:hAnsi="Arial Black" w:hint="eastAsia"/>
          <w:b/>
          <w:color w:val="002060"/>
          <w:sz w:val="32"/>
          <w:szCs w:val="36"/>
          <w14:textOutline w14:w="0" w14:cap="flat" w14:cmpd="sng" w14:algn="ctr">
            <w14:noFill/>
            <w14:prstDash w14:val="solid"/>
            <w14:round/>
          </w14:textOutline>
          <w14:props3d w14:extrusionH="57150" w14:contourW="0" w14:prstMaterial="softEdge">
            <w14:bevelT w14:w="25400" w14:h="38100" w14:prst="circle"/>
          </w14:props3d>
        </w:rPr>
        <w:t xml:space="preserve">Tashkent, </w:t>
      </w:r>
      <w:r w:rsidRPr="008E502E">
        <w:rPr>
          <w:rFonts w:ascii="Arial Black" w:hAnsi="Arial Black"/>
          <w:b/>
          <w:color w:val="002060"/>
          <w:sz w:val="32"/>
          <w:szCs w:val="36"/>
          <w14:textOutline w14:w="0" w14:cap="flat" w14:cmpd="sng" w14:algn="ctr">
            <w14:noFill/>
            <w14:prstDash w14:val="solid"/>
            <w14:round/>
          </w14:textOutline>
          <w14:props3d w14:extrusionH="57150" w14:contourW="0" w14:prstMaterial="softEdge">
            <w14:bevelT w14:w="25400" w14:h="38100" w14:prst="circle"/>
          </w14:props3d>
        </w:rPr>
        <w:t>Uzbekistan</w:t>
      </w:r>
    </w:p>
    <w:p w14:paraId="7209D7CC" w14:textId="77777777" w:rsidR="008E502E" w:rsidRPr="008E502E" w:rsidRDefault="008E502E" w:rsidP="008E502E">
      <w:pPr>
        <w:spacing w:before="156" w:after="156"/>
        <w:jc w:val="center"/>
        <w:rPr>
          <w:rFonts w:ascii="Arial Black" w:hAnsi="Arial Black"/>
          <w:b/>
          <w:bCs/>
          <w:i/>
          <w:iCs/>
          <w:color w:val="FF0000"/>
          <w:sz w:val="44"/>
          <w:szCs w:val="48"/>
          <w:u w:val="single"/>
        </w:rPr>
      </w:pPr>
      <w:r w:rsidRPr="008E502E">
        <w:rPr>
          <w:rFonts w:ascii="Arial Black" w:hAnsi="Arial Black"/>
          <w:b/>
          <w:bCs/>
          <w:i/>
          <w:iCs/>
          <w:color w:val="FF0000"/>
          <w:sz w:val="44"/>
          <w:szCs w:val="48"/>
          <w:u w:val="single"/>
        </w:rPr>
        <w:t>Call for Conveners</w:t>
      </w:r>
    </w:p>
    <w:p w14:paraId="770D6309" w14:textId="0152D7F6" w:rsidR="001D0C93" w:rsidRDefault="001D0C93" w:rsidP="00D54DBF">
      <w:pPr>
        <w:spacing w:before="156" w:after="156"/>
      </w:pPr>
      <w:r>
        <w:rPr>
          <w:rFonts w:hint="eastAsia"/>
        </w:rPr>
        <w:t>April 25 Registration /</w:t>
      </w:r>
      <w:bookmarkStart w:id="0" w:name="OLE_LINK2"/>
      <w:r>
        <w:rPr>
          <w:rFonts w:hint="eastAsia"/>
        </w:rPr>
        <w:t xml:space="preserve"> Pre-Workshops</w:t>
      </w:r>
      <w:bookmarkEnd w:id="0"/>
      <w:r w:rsidR="00924151" w:rsidRPr="00924151">
        <w:rPr>
          <w:rFonts w:hint="eastAsia"/>
        </w:rPr>
        <w:t xml:space="preserve"> </w:t>
      </w:r>
      <w:r w:rsidR="00924151">
        <w:rPr>
          <w:rFonts w:hint="eastAsia"/>
        </w:rPr>
        <w:t>Trainings, pre-workshops</w:t>
      </w:r>
    </w:p>
    <w:p w14:paraId="33C3730E" w14:textId="31622156" w:rsidR="00722E99" w:rsidRDefault="00722E99" w:rsidP="00D54DBF">
      <w:pPr>
        <w:spacing w:before="156" w:after="156"/>
      </w:pPr>
      <w:r>
        <w:rPr>
          <w:rFonts w:hint="eastAsia"/>
        </w:rPr>
        <w:t xml:space="preserve">April 26, Sunday/ </w:t>
      </w:r>
      <w:r w:rsidR="00924151">
        <w:rPr>
          <w:rFonts w:hint="eastAsia"/>
        </w:rPr>
        <w:t>Opening, at afternoon/ Ice break+ Business meeting</w:t>
      </w:r>
    </w:p>
    <w:p w14:paraId="7EA8AD29" w14:textId="2A97860C" w:rsidR="008E502E" w:rsidRDefault="001D0C93" w:rsidP="00D54DBF">
      <w:pPr>
        <w:spacing w:before="156" w:after="156"/>
      </w:pPr>
      <w:r>
        <w:rPr>
          <w:rFonts w:hint="eastAsia"/>
        </w:rPr>
        <w:t>April 2</w:t>
      </w:r>
      <w:r w:rsidR="00722E99">
        <w:rPr>
          <w:rFonts w:hint="eastAsia"/>
        </w:rPr>
        <w:t>7 Monday</w:t>
      </w:r>
      <w:r>
        <w:rPr>
          <w:rFonts w:hint="eastAsia"/>
        </w:rPr>
        <w:t xml:space="preserve"> </w:t>
      </w:r>
      <w:r w:rsidR="00924151">
        <w:rPr>
          <w:rFonts w:hint="eastAsia"/>
        </w:rPr>
        <w:t>April 28</w:t>
      </w:r>
    </w:p>
    <w:p w14:paraId="446AA6A9" w14:textId="7D808903" w:rsidR="001D0C93" w:rsidRDefault="001D0C93" w:rsidP="00D54DBF">
      <w:pPr>
        <w:spacing w:before="156" w:after="156"/>
      </w:pPr>
      <w:r>
        <w:rPr>
          <w:rFonts w:hint="eastAsia"/>
        </w:rPr>
        <w:t xml:space="preserve">April 29 </w:t>
      </w:r>
      <w:r w:rsidR="00722E99">
        <w:rPr>
          <w:rFonts w:hint="eastAsia"/>
        </w:rPr>
        <w:t xml:space="preserve">Wednesday </w:t>
      </w:r>
      <w:r w:rsidR="00924151">
        <w:rPr>
          <w:rFonts w:hint="eastAsia"/>
        </w:rPr>
        <w:t xml:space="preserve">morning / afternoon: </w:t>
      </w:r>
      <w:r w:rsidR="00924151">
        <w:t>Memorial Day</w:t>
      </w:r>
      <w:r w:rsidR="00924151">
        <w:rPr>
          <w:rFonts w:hint="eastAsia"/>
        </w:rPr>
        <w:t xml:space="preserve"> &amp; Closing</w:t>
      </w:r>
    </w:p>
    <w:p w14:paraId="378B51BE" w14:textId="77777777" w:rsidR="00924151" w:rsidRDefault="00924151" w:rsidP="00D54DBF">
      <w:pPr>
        <w:spacing w:before="156" w:after="156"/>
      </w:pPr>
    </w:p>
    <w:p w14:paraId="2807E812" w14:textId="6D7F47D3" w:rsidR="008E502E" w:rsidRDefault="008E502E" w:rsidP="00D54DBF">
      <w:pPr>
        <w:spacing w:before="156" w:after="156"/>
      </w:pPr>
      <w:r>
        <w:rPr>
          <w:rFonts w:hint="eastAsia"/>
        </w:rPr>
        <w:t xml:space="preserve">The </w:t>
      </w:r>
      <w:r w:rsidR="008B7A8E">
        <w:rPr>
          <w:rFonts w:hint="eastAsia"/>
        </w:rPr>
        <w:t xml:space="preserve">preliminary </w:t>
      </w:r>
      <w:r>
        <w:rPr>
          <w:rFonts w:hint="eastAsia"/>
        </w:rPr>
        <w:t xml:space="preserve">sessions and their scopes are listed as following. </w:t>
      </w:r>
    </w:p>
    <w:p w14:paraId="525EBCDA" w14:textId="77777777" w:rsidR="008E502E" w:rsidRDefault="008E502E" w:rsidP="00D54DBF">
      <w:pPr>
        <w:spacing w:before="156" w:after="156"/>
      </w:pPr>
      <w:r>
        <w:rPr>
          <w:rFonts w:hint="eastAsia"/>
        </w:rPr>
        <w:t xml:space="preserve">If you are </w:t>
      </w:r>
      <w:r>
        <w:t>interested</w:t>
      </w:r>
      <w:r>
        <w:rPr>
          <w:rFonts w:hint="eastAsia"/>
        </w:rPr>
        <w:t xml:space="preserve"> in the topics and will come to be a convener, please send </w:t>
      </w:r>
      <w:r>
        <w:t>email</w:t>
      </w:r>
      <w:r w:rsidR="00CD7389">
        <w:rPr>
          <w:rFonts w:hint="eastAsia"/>
        </w:rPr>
        <w:t>s</w:t>
      </w:r>
      <w:r>
        <w:rPr>
          <w:rFonts w:hint="eastAsia"/>
        </w:rPr>
        <w:t xml:space="preserve"> to:</w:t>
      </w:r>
    </w:p>
    <w:p w14:paraId="177FC785" w14:textId="77777777" w:rsidR="008E502E" w:rsidRPr="008E502E" w:rsidRDefault="00CD7389" w:rsidP="00D54DBF">
      <w:pPr>
        <w:spacing w:before="156" w:after="156"/>
        <w:rPr>
          <w:b/>
          <w:bCs/>
        </w:rPr>
      </w:pPr>
      <w:r>
        <w:rPr>
          <w:rFonts w:hint="eastAsia"/>
          <w:b/>
          <w:bCs/>
        </w:rPr>
        <w:t xml:space="preserve">Ms. </w:t>
      </w:r>
      <w:r w:rsidR="008E502E" w:rsidRPr="008E502E">
        <w:rPr>
          <w:rFonts w:hint="eastAsia"/>
          <w:b/>
          <w:bCs/>
        </w:rPr>
        <w:t xml:space="preserve">Li Li, Secretary General of ASC, </w:t>
      </w:r>
      <w:hyperlink r:id="rId6" w:history="1">
        <w:r w:rsidR="008E502E" w:rsidRPr="008E502E">
          <w:rPr>
            <w:rStyle w:val="ae"/>
            <w:rFonts w:hint="eastAsia"/>
            <w:b/>
            <w:bCs/>
          </w:rPr>
          <w:t>lilygarce@cea-igp.ac.cn</w:t>
        </w:r>
      </w:hyperlink>
    </w:p>
    <w:p w14:paraId="1C16085E" w14:textId="77777777" w:rsidR="00CD7389" w:rsidRPr="00CD7389" w:rsidRDefault="00CD7389" w:rsidP="00D54DBF">
      <w:pPr>
        <w:spacing w:before="156" w:after="156"/>
        <w:rPr>
          <w:b/>
          <w:bCs/>
          <w:i/>
          <w:iCs/>
          <w:color w:val="FF0000"/>
          <w:u w:val="single"/>
        </w:rPr>
      </w:pPr>
      <w:r w:rsidRPr="00CD7389">
        <w:rPr>
          <w:rFonts w:hint="eastAsia"/>
          <w:b/>
          <w:bCs/>
          <w:i/>
          <w:iCs/>
          <w:color w:val="FF0000"/>
          <w:u w:val="single"/>
        </w:rPr>
        <w:t>Before Augst 3</w:t>
      </w:r>
      <w:r>
        <w:rPr>
          <w:rFonts w:hint="eastAsia"/>
          <w:b/>
          <w:bCs/>
          <w:i/>
          <w:iCs/>
          <w:color w:val="FF0000"/>
          <w:u w:val="single"/>
        </w:rPr>
        <w:t>1</w:t>
      </w:r>
      <w:r w:rsidRPr="00CD7389">
        <w:rPr>
          <w:rFonts w:hint="eastAsia"/>
          <w:b/>
          <w:bCs/>
          <w:i/>
          <w:iCs/>
          <w:color w:val="FF0000"/>
          <w:u w:val="single"/>
        </w:rPr>
        <w:t>, 2025.</w:t>
      </w:r>
    </w:p>
    <w:p w14:paraId="144BC9D4" w14:textId="77777777" w:rsidR="00CD7389" w:rsidRPr="00BE16A5" w:rsidRDefault="00BE16A5" w:rsidP="00D54DBF">
      <w:pPr>
        <w:spacing w:before="156" w:after="156"/>
        <w:rPr>
          <w:b/>
          <w:bCs/>
        </w:rPr>
      </w:pPr>
      <w:r w:rsidRPr="00BE16A5">
        <w:rPr>
          <w:rFonts w:hint="eastAsia"/>
          <w:b/>
          <w:bCs/>
        </w:rPr>
        <w:t>New session</w:t>
      </w:r>
      <w:r>
        <w:rPr>
          <w:rFonts w:hint="eastAsia"/>
          <w:b/>
          <w:bCs/>
        </w:rPr>
        <w:t xml:space="preserve">s, pre-workshops, short training courses related to ASC are </w:t>
      </w:r>
      <w:r w:rsidRPr="00BE16A5">
        <w:rPr>
          <w:rFonts w:hint="eastAsia"/>
          <w:b/>
          <w:bCs/>
        </w:rPr>
        <w:t>also welcome!!!</w:t>
      </w:r>
    </w:p>
    <w:p w14:paraId="3A8A8F06" w14:textId="77777777" w:rsidR="00BE16A5" w:rsidRPr="008E502E" w:rsidRDefault="00BE16A5" w:rsidP="00D54DBF">
      <w:pPr>
        <w:spacing w:before="156" w:after="156"/>
      </w:pPr>
    </w:p>
    <w:p w14:paraId="709DBE2E" w14:textId="77777777" w:rsidR="00E046BB" w:rsidRDefault="00E046BB" w:rsidP="00D54DBF">
      <w:pPr>
        <w:pStyle w:val="1"/>
        <w:spacing w:before="156" w:after="156"/>
      </w:pPr>
      <w:r w:rsidRPr="00E046BB">
        <w:t>Destructive Earthquakes: Lessons from Historical Events</w:t>
      </w:r>
    </w:p>
    <w:p w14:paraId="6E95E537" w14:textId="77777777" w:rsidR="0083111B" w:rsidRPr="00D54DBF" w:rsidRDefault="0083111B" w:rsidP="00D54DBF">
      <w:pPr>
        <w:pStyle w:val="a9"/>
        <w:spacing w:line="320" w:lineRule="exact"/>
        <w:ind w:left="442"/>
        <w:rPr>
          <w:sz w:val="24"/>
          <w:szCs w:val="28"/>
        </w:rPr>
      </w:pPr>
      <w:r w:rsidRPr="002E24F4">
        <w:rPr>
          <w:b/>
          <w:bCs/>
          <w:i/>
          <w:iCs/>
          <w:smallCaps/>
          <w:color w:val="002060"/>
          <w:sz w:val="28"/>
          <w:szCs w:val="32"/>
        </w:rPr>
        <w:t>Scope:</w:t>
      </w:r>
      <w:r w:rsidRPr="002E24F4">
        <w:rPr>
          <w:i/>
          <w:iCs/>
          <w:smallCaps/>
          <w:color w:val="002060"/>
          <w:sz w:val="28"/>
          <w:szCs w:val="32"/>
        </w:rPr>
        <w:t> </w:t>
      </w:r>
      <w:r w:rsidRPr="00D54DBF">
        <w:rPr>
          <w:sz w:val="24"/>
          <w:szCs w:val="28"/>
        </w:rPr>
        <w:t>This session focuses on analyzing major historical earthquakes to extract lessons for hazard mitigation. Topics include case studies of past events, fault rupture processes, ground motion characteristics, socio-economic impacts, and long-term recovery strategies. Contributions combining geological evidence with modern seismological analysis are encouraged.</w:t>
      </w:r>
    </w:p>
    <w:p w14:paraId="07876E96" w14:textId="77777777" w:rsidR="0083111B" w:rsidRPr="00BC366D" w:rsidRDefault="0083111B" w:rsidP="002E24F4">
      <w:pPr>
        <w:pStyle w:val="a9"/>
        <w:ind w:left="440"/>
        <w:rPr>
          <w:sz w:val="24"/>
          <w:szCs w:val="28"/>
        </w:rPr>
      </w:pPr>
      <w:bookmarkStart w:id="1" w:name="OLE_LINK1"/>
    </w:p>
    <w:bookmarkEnd w:id="1"/>
    <w:p w14:paraId="71AA30DA" w14:textId="77777777" w:rsidR="00E046BB" w:rsidRDefault="00E046BB" w:rsidP="00D54DBF">
      <w:pPr>
        <w:pStyle w:val="1"/>
        <w:spacing w:before="156" w:after="156"/>
      </w:pPr>
      <w:r w:rsidRPr="00E046BB">
        <w:lastRenderedPageBreak/>
        <w:t>Advances in Seismological Monitoring: Networks, Instruments, and Multi-disciplinary Techniques</w:t>
      </w:r>
    </w:p>
    <w:p w14:paraId="29211C86" w14:textId="32C25FFB" w:rsidR="0083111B" w:rsidRPr="00D54DBF" w:rsidRDefault="0083111B" w:rsidP="00D54DBF">
      <w:pPr>
        <w:pStyle w:val="a9"/>
        <w:spacing w:line="320" w:lineRule="exact"/>
        <w:ind w:left="442"/>
        <w:rPr>
          <w:sz w:val="24"/>
          <w:szCs w:val="28"/>
        </w:rPr>
      </w:pPr>
      <w:r w:rsidRPr="002E24F4">
        <w:rPr>
          <w:b/>
          <w:bCs/>
          <w:i/>
          <w:iCs/>
          <w:smallCaps/>
          <w:color w:val="002060"/>
          <w:sz w:val="28"/>
          <w:szCs w:val="32"/>
        </w:rPr>
        <w:t>Scope: </w:t>
      </w:r>
      <w:r w:rsidRPr="00D54DBF">
        <w:rPr>
          <w:sz w:val="24"/>
          <w:szCs w:val="28"/>
        </w:rPr>
        <w:t xml:space="preserve">Covers innovations in seismic and geodetic monitoring, including dense array deployments, </w:t>
      </w:r>
      <w:r w:rsidR="008B7A8E" w:rsidRPr="00D54DBF">
        <w:rPr>
          <w:sz w:val="24"/>
          <w:szCs w:val="28"/>
        </w:rPr>
        <w:t>DAS (Distributed Acoustic Sensing)</w:t>
      </w:r>
      <w:r w:rsidR="008B7A8E">
        <w:rPr>
          <w:rFonts w:hint="eastAsia"/>
          <w:sz w:val="24"/>
          <w:szCs w:val="28"/>
        </w:rPr>
        <w:t>, m</w:t>
      </w:r>
      <w:r w:rsidRPr="00D54DBF">
        <w:rPr>
          <w:sz w:val="24"/>
          <w:szCs w:val="28"/>
        </w:rPr>
        <w:t>ulti-parameter networks (seismic, GNSS, InSAR), and emerging sensor technologies. Discussions on data integration, real-time processing, and interdisciplinary approaches (e.g., seismology-geodesy collaboration) are welcome.</w:t>
      </w:r>
    </w:p>
    <w:p w14:paraId="765007EF" w14:textId="77777777" w:rsidR="00E046BB" w:rsidRPr="0083111B" w:rsidRDefault="00E046BB" w:rsidP="00E046BB"/>
    <w:p w14:paraId="774D520F" w14:textId="77777777" w:rsidR="00E046BB" w:rsidRDefault="00E046BB" w:rsidP="00D54DBF">
      <w:pPr>
        <w:pStyle w:val="1"/>
        <w:spacing w:before="156" w:after="156"/>
      </w:pPr>
      <w:r w:rsidRPr="00E046BB">
        <w:t>Imaging Earth's Structure: From Shallow Subsurface to Deep Crust</w:t>
      </w:r>
    </w:p>
    <w:p w14:paraId="6C51FB90" w14:textId="296EF18B" w:rsidR="0083111B" w:rsidRPr="00D54DBF" w:rsidRDefault="0083111B" w:rsidP="00D54DBF">
      <w:pPr>
        <w:pStyle w:val="a9"/>
        <w:spacing w:line="320" w:lineRule="exact"/>
        <w:ind w:left="442"/>
        <w:rPr>
          <w:sz w:val="24"/>
          <w:szCs w:val="28"/>
        </w:rPr>
      </w:pPr>
      <w:r w:rsidRPr="002E24F4">
        <w:rPr>
          <w:b/>
          <w:bCs/>
          <w:i/>
          <w:iCs/>
          <w:smallCaps/>
          <w:color w:val="002060"/>
          <w:sz w:val="28"/>
          <w:szCs w:val="32"/>
        </w:rPr>
        <w:t>Scope:</w:t>
      </w:r>
      <w:r w:rsidRPr="00D54DBF">
        <w:rPr>
          <w:sz w:val="24"/>
          <w:szCs w:val="28"/>
        </w:rPr>
        <w:t> Explores methods for high-resolution imaging of Earth’s structure at all scales, including ambient noise tomography, full-waveform inversion,</w:t>
      </w:r>
      <w:r w:rsidR="008B7A8E">
        <w:rPr>
          <w:rFonts w:hint="eastAsia"/>
          <w:sz w:val="24"/>
          <w:szCs w:val="28"/>
        </w:rPr>
        <w:t xml:space="preserve"> </w:t>
      </w:r>
      <w:r w:rsidRPr="00D54DBF">
        <w:rPr>
          <w:sz w:val="24"/>
          <w:szCs w:val="28"/>
        </w:rPr>
        <w:t>and active-source seismology. Applications to seismic hazard assessment, resource exploration, and tectonic studies are highlighted.</w:t>
      </w:r>
    </w:p>
    <w:p w14:paraId="202CB5BB" w14:textId="77777777" w:rsidR="00E046BB" w:rsidRPr="00E046BB" w:rsidRDefault="00E046BB" w:rsidP="00E046BB"/>
    <w:p w14:paraId="6E44887E" w14:textId="77777777" w:rsidR="00E046BB" w:rsidRDefault="00E046BB" w:rsidP="00D54DBF">
      <w:pPr>
        <w:pStyle w:val="1"/>
        <w:spacing w:before="156" w:after="156"/>
      </w:pPr>
      <w:r w:rsidRPr="00E046BB">
        <w:t>Tectonics, Geodynamics, and Volcanic Processes: Seismic Perspectives</w:t>
      </w:r>
    </w:p>
    <w:p w14:paraId="56354781" w14:textId="77777777" w:rsidR="0083111B" w:rsidRPr="00D54DBF" w:rsidRDefault="0083111B" w:rsidP="00D54DBF">
      <w:pPr>
        <w:pStyle w:val="a9"/>
        <w:spacing w:line="320" w:lineRule="exact"/>
        <w:ind w:left="442"/>
        <w:rPr>
          <w:sz w:val="24"/>
          <w:szCs w:val="28"/>
        </w:rPr>
      </w:pPr>
      <w:r w:rsidRPr="002E24F4">
        <w:rPr>
          <w:b/>
          <w:bCs/>
          <w:i/>
          <w:iCs/>
          <w:smallCaps/>
          <w:color w:val="002060"/>
          <w:sz w:val="28"/>
          <w:szCs w:val="32"/>
        </w:rPr>
        <w:t>Scope:</w:t>
      </w:r>
      <w:r w:rsidRPr="00D54DBF">
        <w:rPr>
          <w:sz w:val="24"/>
          <w:szCs w:val="28"/>
        </w:rPr>
        <w:t> Investigates seismic signatures of tectonic and volcanic activity, including subduction dynamics, crustal deformation, magma migration, and eruption precursors. Studies combining seismology with geodynamic modeling or other geophysical datasets are particularly encouraged.</w:t>
      </w:r>
    </w:p>
    <w:p w14:paraId="5504F1E9" w14:textId="77777777" w:rsidR="00E046BB" w:rsidRPr="008E502E" w:rsidRDefault="00E046BB" w:rsidP="00E046BB"/>
    <w:p w14:paraId="39C14D83" w14:textId="77777777" w:rsidR="00E046BB" w:rsidRDefault="00E046BB" w:rsidP="00D54DBF">
      <w:pPr>
        <w:pStyle w:val="1"/>
        <w:spacing w:before="156" w:after="156"/>
      </w:pPr>
      <w:r w:rsidRPr="00E046BB">
        <w:t>Induced Seismicity: From Energy Extraction to Urban Underground Activities</w:t>
      </w:r>
    </w:p>
    <w:p w14:paraId="47C77A93" w14:textId="77777777" w:rsidR="0083111B" w:rsidRPr="00D54DBF" w:rsidRDefault="0083111B" w:rsidP="00D54DBF">
      <w:pPr>
        <w:pStyle w:val="a9"/>
        <w:spacing w:line="320" w:lineRule="exact"/>
        <w:ind w:left="442"/>
        <w:rPr>
          <w:sz w:val="24"/>
          <w:szCs w:val="28"/>
        </w:rPr>
      </w:pPr>
      <w:r w:rsidRPr="002E24F4">
        <w:rPr>
          <w:b/>
          <w:bCs/>
          <w:i/>
          <w:iCs/>
          <w:smallCaps/>
          <w:color w:val="002060"/>
          <w:sz w:val="28"/>
          <w:szCs w:val="32"/>
        </w:rPr>
        <w:t>Scope:</w:t>
      </w:r>
      <w:r w:rsidRPr="00D54DBF">
        <w:rPr>
          <w:sz w:val="24"/>
          <w:szCs w:val="28"/>
        </w:rPr>
        <w:t> Examines human-induced earthquakes linked to oil/gas extraction, geothermal operations, reservoir impoundment, mining, and urban tunneling. Topics include triggering mechanisms, risk management, regulatory frameworks, and mitigation strategies.</w:t>
      </w:r>
    </w:p>
    <w:p w14:paraId="4AB62707" w14:textId="77777777" w:rsidR="00E046BB" w:rsidRPr="00E046BB" w:rsidRDefault="00E046BB" w:rsidP="00E046BB"/>
    <w:p w14:paraId="49041846" w14:textId="77777777" w:rsidR="00E046BB" w:rsidRDefault="00E046BB" w:rsidP="00D54DBF">
      <w:pPr>
        <w:pStyle w:val="1"/>
        <w:spacing w:before="156" w:after="156"/>
      </w:pPr>
      <w:r w:rsidRPr="00E046BB">
        <w:t>Machine Learning and Big Data in Seismology</w:t>
      </w:r>
    </w:p>
    <w:p w14:paraId="3D242260" w14:textId="77777777" w:rsidR="0083111B" w:rsidRPr="00D54DBF" w:rsidRDefault="0083111B" w:rsidP="00D54DBF">
      <w:pPr>
        <w:pStyle w:val="a9"/>
        <w:spacing w:line="320" w:lineRule="exact"/>
        <w:ind w:left="442"/>
        <w:rPr>
          <w:sz w:val="24"/>
          <w:szCs w:val="28"/>
        </w:rPr>
      </w:pPr>
      <w:r w:rsidRPr="002E24F4">
        <w:rPr>
          <w:b/>
          <w:bCs/>
          <w:i/>
          <w:iCs/>
          <w:smallCaps/>
          <w:color w:val="002060"/>
          <w:sz w:val="28"/>
          <w:szCs w:val="32"/>
        </w:rPr>
        <w:t>Scope:</w:t>
      </w:r>
      <w:r w:rsidRPr="00D54DBF">
        <w:rPr>
          <w:sz w:val="24"/>
          <w:szCs w:val="28"/>
        </w:rPr>
        <w:t> Focuses on AI/ML applications in seismology, such as earthquake detection, phase picking, early warning, and ground-motion prediction. Also covers challenges in handling large datasets, interpretability of ML models, and hybrid physics-AI approaches.</w:t>
      </w:r>
    </w:p>
    <w:p w14:paraId="2E479AC3" w14:textId="77777777" w:rsidR="00E046BB" w:rsidRPr="00E046BB" w:rsidRDefault="00E046BB" w:rsidP="00E046BB"/>
    <w:p w14:paraId="0C08F52C" w14:textId="77777777" w:rsidR="00E046BB" w:rsidRDefault="00E046BB" w:rsidP="00D54DBF">
      <w:pPr>
        <w:pStyle w:val="1"/>
        <w:spacing w:before="156" w:after="156"/>
      </w:pPr>
      <w:r w:rsidRPr="00E046BB">
        <w:t>Earthquake and Tsunami Early Warning Systems</w:t>
      </w:r>
    </w:p>
    <w:p w14:paraId="4EB253A7" w14:textId="77777777" w:rsidR="00E046BB" w:rsidRDefault="0083111B" w:rsidP="00D54DBF">
      <w:pPr>
        <w:pStyle w:val="a9"/>
        <w:spacing w:line="320" w:lineRule="exact"/>
        <w:ind w:left="442"/>
        <w:rPr>
          <w:sz w:val="24"/>
          <w:szCs w:val="28"/>
        </w:rPr>
      </w:pPr>
      <w:r w:rsidRPr="002E24F4">
        <w:rPr>
          <w:b/>
          <w:bCs/>
          <w:i/>
          <w:iCs/>
          <w:smallCaps/>
          <w:color w:val="002060"/>
          <w:sz w:val="28"/>
          <w:szCs w:val="32"/>
        </w:rPr>
        <w:t>Scope: </w:t>
      </w:r>
      <w:r w:rsidRPr="00D54DBF">
        <w:rPr>
          <w:sz w:val="24"/>
          <w:szCs w:val="28"/>
        </w:rPr>
        <w:t xml:space="preserve">Addresses advancements in real-time warning systems, including </w:t>
      </w:r>
      <w:r w:rsidRPr="00D54DBF">
        <w:rPr>
          <w:sz w:val="24"/>
          <w:szCs w:val="28"/>
        </w:rPr>
        <w:lastRenderedPageBreak/>
        <w:t>sensor networks, algorithms for rapid source characterization, and public alert dissemination. Case studies of system performance during recent events and strategies for false-alarm reduction are discussed.</w:t>
      </w:r>
    </w:p>
    <w:p w14:paraId="2A401020" w14:textId="77777777" w:rsidR="008E502E" w:rsidRPr="00D54DBF" w:rsidRDefault="008E502E" w:rsidP="00D54DBF">
      <w:pPr>
        <w:pStyle w:val="a9"/>
        <w:spacing w:line="320" w:lineRule="exact"/>
        <w:ind w:left="442"/>
        <w:rPr>
          <w:sz w:val="24"/>
          <w:szCs w:val="28"/>
        </w:rPr>
      </w:pPr>
    </w:p>
    <w:p w14:paraId="76B76906" w14:textId="77777777" w:rsidR="00E046BB" w:rsidRDefault="00E046BB" w:rsidP="00D54DBF">
      <w:pPr>
        <w:pStyle w:val="1"/>
        <w:spacing w:before="156" w:after="156"/>
      </w:pPr>
      <w:r w:rsidRPr="00E046BB">
        <w:t>Tsunami Science: Generation, Propagation, and Coastal Impact</w:t>
      </w:r>
    </w:p>
    <w:p w14:paraId="7544FD5E" w14:textId="77777777" w:rsidR="0083111B" w:rsidRDefault="0083111B" w:rsidP="00D54DBF">
      <w:pPr>
        <w:pStyle w:val="a9"/>
        <w:spacing w:line="320" w:lineRule="exact"/>
        <w:ind w:left="442"/>
        <w:rPr>
          <w:sz w:val="24"/>
          <w:szCs w:val="28"/>
        </w:rPr>
      </w:pPr>
      <w:r w:rsidRPr="002E24F4">
        <w:rPr>
          <w:b/>
          <w:bCs/>
          <w:i/>
          <w:iCs/>
          <w:smallCaps/>
          <w:color w:val="002060"/>
          <w:sz w:val="28"/>
          <w:szCs w:val="32"/>
        </w:rPr>
        <w:t>Scope:</w:t>
      </w:r>
      <w:r w:rsidRPr="00D54DBF">
        <w:rPr>
          <w:sz w:val="24"/>
          <w:szCs w:val="28"/>
        </w:rPr>
        <w:t> Studies on tsunami source mechanisms (earthquake, landslide, volcanic), numerical modeling, coastal amplification, and inundation mapping. Contributions integrating seismic, seafloor, and hydrodynamic data are encouraged.</w:t>
      </w:r>
    </w:p>
    <w:p w14:paraId="72B8F874" w14:textId="77777777" w:rsidR="008E502E" w:rsidRPr="00D54DBF" w:rsidRDefault="008E502E" w:rsidP="00D54DBF">
      <w:pPr>
        <w:pStyle w:val="a9"/>
        <w:spacing w:line="320" w:lineRule="exact"/>
        <w:ind w:left="442"/>
        <w:rPr>
          <w:sz w:val="24"/>
          <w:szCs w:val="28"/>
        </w:rPr>
      </w:pPr>
    </w:p>
    <w:p w14:paraId="3D207D57" w14:textId="77777777" w:rsidR="00E046BB" w:rsidRDefault="00E046BB" w:rsidP="00D54DBF">
      <w:pPr>
        <w:pStyle w:val="1"/>
        <w:spacing w:before="156" w:after="156"/>
      </w:pPr>
      <w:r w:rsidRPr="00E046BB">
        <w:t>Space-Based Geodetic Technologies for Deformation Monitoring</w:t>
      </w:r>
    </w:p>
    <w:p w14:paraId="22754E8B" w14:textId="77777777" w:rsidR="0083111B" w:rsidRDefault="0083111B" w:rsidP="00D54DBF">
      <w:pPr>
        <w:pStyle w:val="a9"/>
        <w:spacing w:line="320" w:lineRule="exact"/>
        <w:ind w:left="442"/>
        <w:rPr>
          <w:sz w:val="24"/>
          <w:szCs w:val="28"/>
        </w:rPr>
      </w:pPr>
      <w:r w:rsidRPr="002E24F4">
        <w:rPr>
          <w:b/>
          <w:bCs/>
          <w:i/>
          <w:iCs/>
          <w:smallCaps/>
          <w:color w:val="002060"/>
          <w:sz w:val="28"/>
          <w:szCs w:val="32"/>
        </w:rPr>
        <w:t>Scope: </w:t>
      </w:r>
      <w:r w:rsidRPr="00D54DBF">
        <w:rPr>
          <w:sz w:val="24"/>
          <w:szCs w:val="28"/>
        </w:rPr>
        <w:t>Highlights GNSS, InSAR, and LiDAR applications for measuring crustal deformation, fault slip, and volcanic inflation. Topics include time-series analysis, multi-sensor fusion, and role in hazard assessment.</w:t>
      </w:r>
    </w:p>
    <w:p w14:paraId="0952FF78" w14:textId="77777777" w:rsidR="008E502E" w:rsidRPr="00D54DBF" w:rsidRDefault="008E502E" w:rsidP="00D54DBF">
      <w:pPr>
        <w:pStyle w:val="a9"/>
        <w:spacing w:line="320" w:lineRule="exact"/>
        <w:ind w:left="442"/>
        <w:rPr>
          <w:sz w:val="24"/>
          <w:szCs w:val="28"/>
        </w:rPr>
      </w:pPr>
    </w:p>
    <w:p w14:paraId="501F5152" w14:textId="77777777" w:rsidR="00E046BB" w:rsidRDefault="00E046BB" w:rsidP="00D54DBF">
      <w:pPr>
        <w:pStyle w:val="1"/>
        <w:spacing w:before="156" w:after="156"/>
      </w:pPr>
      <w:r w:rsidRPr="00E046BB">
        <w:t>Seismic Hazard and Risk Assessment</w:t>
      </w:r>
    </w:p>
    <w:p w14:paraId="5C7F8F81" w14:textId="77777777" w:rsidR="0083111B" w:rsidRPr="00D54DBF" w:rsidRDefault="0083111B" w:rsidP="00D54DBF">
      <w:pPr>
        <w:pStyle w:val="a9"/>
        <w:spacing w:line="320" w:lineRule="exact"/>
        <w:ind w:left="442"/>
        <w:rPr>
          <w:sz w:val="24"/>
          <w:szCs w:val="28"/>
        </w:rPr>
      </w:pPr>
      <w:r w:rsidRPr="002E24F4">
        <w:rPr>
          <w:b/>
          <w:bCs/>
          <w:i/>
          <w:iCs/>
          <w:smallCaps/>
          <w:color w:val="002060"/>
          <w:sz w:val="28"/>
          <w:szCs w:val="32"/>
        </w:rPr>
        <w:t>Scope: </w:t>
      </w:r>
      <w:r w:rsidRPr="00D54DBF">
        <w:rPr>
          <w:sz w:val="24"/>
          <w:szCs w:val="28"/>
        </w:rPr>
        <w:t>Covers probabilistic/neo-deterministic hazard models, ground-motion prediction equations (GMPEs), and risk quantification for urban areas. Discussions on uncertainty treatment and scenario-based approaches are welcome.</w:t>
      </w:r>
    </w:p>
    <w:p w14:paraId="24B1241A" w14:textId="77777777" w:rsidR="00E046BB" w:rsidRPr="00D54DBF" w:rsidRDefault="00E046BB" w:rsidP="00D54DBF">
      <w:pPr>
        <w:pStyle w:val="a9"/>
        <w:spacing w:line="320" w:lineRule="exact"/>
        <w:ind w:left="442"/>
        <w:rPr>
          <w:sz w:val="24"/>
          <w:szCs w:val="28"/>
        </w:rPr>
      </w:pPr>
    </w:p>
    <w:p w14:paraId="3AC2C3ED" w14:textId="77777777" w:rsidR="00E046BB" w:rsidRDefault="00E046BB" w:rsidP="00D54DBF">
      <w:pPr>
        <w:pStyle w:val="1"/>
        <w:spacing w:before="156" w:after="156"/>
      </w:pPr>
      <w:r w:rsidRPr="00E046BB">
        <w:t>Earthquake Engineering and Infrastructure Resilience</w:t>
      </w:r>
    </w:p>
    <w:p w14:paraId="5CE323B4" w14:textId="77777777" w:rsidR="0083111B" w:rsidRPr="00D54DBF" w:rsidRDefault="0083111B" w:rsidP="00D54DBF">
      <w:pPr>
        <w:pStyle w:val="a9"/>
        <w:spacing w:line="320" w:lineRule="exact"/>
        <w:ind w:left="442"/>
        <w:rPr>
          <w:sz w:val="24"/>
          <w:szCs w:val="28"/>
        </w:rPr>
      </w:pPr>
      <w:r w:rsidRPr="002E24F4">
        <w:rPr>
          <w:b/>
          <w:bCs/>
          <w:i/>
          <w:iCs/>
          <w:smallCaps/>
          <w:color w:val="002060"/>
          <w:sz w:val="28"/>
          <w:szCs w:val="32"/>
        </w:rPr>
        <w:t>Scope: </w:t>
      </w:r>
      <w:r w:rsidRPr="00D54DBF">
        <w:rPr>
          <w:sz w:val="24"/>
          <w:szCs w:val="28"/>
        </w:rPr>
        <w:t>Focuses on seismic design codes, retrofitting strategies, soil-structure interaction, and performance-based engineering. Case studies of infrastructure response to recent earthquakes are encouraged.</w:t>
      </w:r>
    </w:p>
    <w:p w14:paraId="10DD8A9C" w14:textId="77777777" w:rsidR="002E24F4" w:rsidRPr="002E24F4" w:rsidRDefault="002E24F4" w:rsidP="002E24F4">
      <w:pPr>
        <w:pStyle w:val="a9"/>
        <w:ind w:left="440"/>
        <w:rPr>
          <w:sz w:val="24"/>
          <w:szCs w:val="28"/>
        </w:rPr>
      </w:pPr>
    </w:p>
    <w:p w14:paraId="1E1B2A76" w14:textId="77777777" w:rsidR="00E046BB" w:rsidRDefault="00E046BB" w:rsidP="00D54DBF">
      <w:pPr>
        <w:pStyle w:val="1"/>
        <w:spacing w:before="156" w:after="156"/>
      </w:pPr>
      <w:r w:rsidRPr="00E046BB">
        <w:t>Earthquake Disaster Risk Reduction</w:t>
      </w:r>
    </w:p>
    <w:p w14:paraId="1338B5A8" w14:textId="77777777" w:rsidR="0083111B" w:rsidRPr="00D54DBF" w:rsidRDefault="0083111B" w:rsidP="00D54DBF">
      <w:pPr>
        <w:pStyle w:val="a9"/>
        <w:spacing w:line="320" w:lineRule="exact"/>
        <w:ind w:left="442"/>
        <w:rPr>
          <w:sz w:val="24"/>
          <w:szCs w:val="28"/>
        </w:rPr>
      </w:pPr>
      <w:r w:rsidRPr="002E24F4">
        <w:rPr>
          <w:b/>
          <w:bCs/>
          <w:i/>
          <w:iCs/>
          <w:smallCaps/>
          <w:color w:val="002060"/>
          <w:sz w:val="28"/>
          <w:szCs w:val="32"/>
        </w:rPr>
        <w:t>Scope: </w:t>
      </w:r>
      <w:r w:rsidRPr="00D54DBF">
        <w:rPr>
          <w:sz w:val="24"/>
          <w:szCs w:val="28"/>
        </w:rPr>
        <w:t>Examines preparedness, response, recovery, and resilience-building strategies. Topics include community engagement, policy frameworks, post-disaster assessments, and lessons from global initiatives like UNDRR.</w:t>
      </w:r>
    </w:p>
    <w:p w14:paraId="019D97C5" w14:textId="77777777" w:rsidR="002E24F4" w:rsidRPr="002E24F4" w:rsidRDefault="002E24F4" w:rsidP="002E24F4">
      <w:pPr>
        <w:pStyle w:val="a9"/>
        <w:ind w:left="440"/>
        <w:rPr>
          <w:sz w:val="24"/>
          <w:szCs w:val="28"/>
        </w:rPr>
      </w:pPr>
    </w:p>
    <w:p w14:paraId="15D41AB7" w14:textId="77777777" w:rsidR="00E046BB" w:rsidRDefault="00E046BB" w:rsidP="00D54DBF">
      <w:pPr>
        <w:pStyle w:val="1"/>
        <w:spacing w:before="156" w:after="156"/>
      </w:pPr>
      <w:r w:rsidRPr="00E046BB">
        <w:t>Science Communication and Public Engagement</w:t>
      </w:r>
    </w:p>
    <w:p w14:paraId="0511902A" w14:textId="77777777" w:rsidR="0083111B" w:rsidRPr="00D54DBF" w:rsidRDefault="0083111B" w:rsidP="00D54DBF">
      <w:pPr>
        <w:pStyle w:val="a9"/>
        <w:spacing w:line="320" w:lineRule="exact"/>
        <w:ind w:left="442"/>
        <w:rPr>
          <w:sz w:val="24"/>
          <w:szCs w:val="28"/>
        </w:rPr>
      </w:pPr>
      <w:r w:rsidRPr="002E24F4">
        <w:rPr>
          <w:b/>
          <w:bCs/>
          <w:i/>
          <w:iCs/>
          <w:smallCaps/>
          <w:color w:val="002060"/>
          <w:sz w:val="28"/>
          <w:szCs w:val="32"/>
        </w:rPr>
        <w:t>Scope: </w:t>
      </w:r>
      <w:r w:rsidRPr="00D54DBF">
        <w:rPr>
          <w:sz w:val="24"/>
          <w:szCs w:val="28"/>
        </w:rPr>
        <w:t xml:space="preserve">Explores effective ways to communicate seismic risks and science to </w:t>
      </w:r>
      <w:r w:rsidRPr="00D54DBF">
        <w:rPr>
          <w:sz w:val="24"/>
          <w:szCs w:val="28"/>
        </w:rPr>
        <w:lastRenderedPageBreak/>
        <w:t>policymakers, media, and the public. Includes citizen science, educational tools, and strategies for combating misinformation.</w:t>
      </w:r>
    </w:p>
    <w:p w14:paraId="0DD44449" w14:textId="77777777" w:rsidR="00E046BB" w:rsidRPr="00D54DBF" w:rsidRDefault="00E046BB" w:rsidP="00D54DBF">
      <w:pPr>
        <w:pStyle w:val="a9"/>
        <w:spacing w:line="320" w:lineRule="exact"/>
        <w:ind w:left="442"/>
        <w:rPr>
          <w:sz w:val="24"/>
          <w:szCs w:val="28"/>
        </w:rPr>
      </w:pPr>
    </w:p>
    <w:p w14:paraId="234C5603" w14:textId="77777777" w:rsidR="00E046BB" w:rsidRDefault="00E046BB" w:rsidP="00D54DBF">
      <w:pPr>
        <w:pStyle w:val="1"/>
        <w:spacing w:before="156" w:after="156"/>
      </w:pPr>
      <w:r w:rsidRPr="00E046BB">
        <w:t>Interplate vs. Intraplate Seismicity</w:t>
      </w:r>
    </w:p>
    <w:p w14:paraId="428C76BC" w14:textId="77777777" w:rsidR="0083111B" w:rsidRPr="00D54DBF" w:rsidRDefault="0083111B" w:rsidP="00D54DBF">
      <w:pPr>
        <w:pStyle w:val="a9"/>
        <w:spacing w:line="320" w:lineRule="exact"/>
        <w:ind w:left="442"/>
        <w:rPr>
          <w:sz w:val="24"/>
          <w:szCs w:val="28"/>
        </w:rPr>
      </w:pPr>
      <w:r w:rsidRPr="002E24F4">
        <w:rPr>
          <w:b/>
          <w:bCs/>
          <w:i/>
          <w:iCs/>
          <w:smallCaps/>
          <w:color w:val="002060"/>
          <w:sz w:val="28"/>
          <w:szCs w:val="32"/>
        </w:rPr>
        <w:t>Scope:</w:t>
      </w:r>
      <w:r w:rsidRPr="00D54DBF">
        <w:rPr>
          <w:sz w:val="24"/>
          <w:szCs w:val="28"/>
        </w:rPr>
        <w:t> Compares mechanisms, stress regimes, and hazard implications of interplate (e.g., subduction zones) and intraplate (e.g., stable continents) earthquakes. Paleoseismology and fault interaction studies are relevant.</w:t>
      </w:r>
    </w:p>
    <w:p w14:paraId="21B3F0FD" w14:textId="77777777" w:rsidR="00E046BB" w:rsidRPr="00D54DBF" w:rsidRDefault="00E046BB" w:rsidP="00D54DBF">
      <w:pPr>
        <w:pStyle w:val="a9"/>
        <w:spacing w:line="320" w:lineRule="exact"/>
        <w:ind w:left="442"/>
        <w:rPr>
          <w:sz w:val="24"/>
          <w:szCs w:val="28"/>
        </w:rPr>
      </w:pPr>
    </w:p>
    <w:p w14:paraId="0F30DE40" w14:textId="77777777" w:rsidR="00E046BB" w:rsidRDefault="00E046BB" w:rsidP="00D54DBF">
      <w:pPr>
        <w:pStyle w:val="1"/>
        <w:spacing w:before="156" w:after="156"/>
      </w:pPr>
      <w:r w:rsidRPr="00E046BB">
        <w:t>Environmental Seismology: Natural and Anthropogenic Signals</w:t>
      </w:r>
    </w:p>
    <w:p w14:paraId="60CAE389" w14:textId="77777777" w:rsidR="0083111B" w:rsidRPr="00D54DBF" w:rsidRDefault="0083111B" w:rsidP="00D54DBF">
      <w:pPr>
        <w:pStyle w:val="a9"/>
        <w:spacing w:line="320" w:lineRule="exact"/>
        <w:ind w:left="442"/>
        <w:rPr>
          <w:sz w:val="24"/>
          <w:szCs w:val="28"/>
        </w:rPr>
      </w:pPr>
      <w:r w:rsidRPr="002E24F4">
        <w:rPr>
          <w:b/>
          <w:bCs/>
          <w:i/>
          <w:iCs/>
          <w:smallCaps/>
          <w:color w:val="002060"/>
          <w:sz w:val="28"/>
          <w:szCs w:val="32"/>
        </w:rPr>
        <w:t>Scope: </w:t>
      </w:r>
      <w:r w:rsidRPr="00D54DBF">
        <w:rPr>
          <w:sz w:val="24"/>
          <w:szCs w:val="28"/>
        </w:rPr>
        <w:t>Investigates seismic signals from non-tectonic sources (glaciers, landslides, rivers) and their use in environmental monitoring. Also covers discrimination between natural and human-induced vibrations.</w:t>
      </w:r>
    </w:p>
    <w:p w14:paraId="6287F800" w14:textId="77777777" w:rsidR="00E046BB" w:rsidRPr="00D54DBF" w:rsidRDefault="00E046BB" w:rsidP="00D54DBF">
      <w:pPr>
        <w:pStyle w:val="a9"/>
        <w:spacing w:line="320" w:lineRule="exact"/>
        <w:ind w:left="442"/>
        <w:rPr>
          <w:sz w:val="24"/>
          <w:szCs w:val="28"/>
        </w:rPr>
      </w:pPr>
    </w:p>
    <w:p w14:paraId="15421429" w14:textId="77777777" w:rsidR="00E046BB" w:rsidRDefault="00E046BB" w:rsidP="00D54DBF">
      <w:pPr>
        <w:pStyle w:val="1"/>
        <w:spacing w:before="156" w:after="156"/>
      </w:pPr>
      <w:r w:rsidRPr="00E046BB">
        <w:t>General Seismology</w:t>
      </w:r>
    </w:p>
    <w:p w14:paraId="230C1B8C" w14:textId="77777777" w:rsidR="0083111B" w:rsidRPr="00D54DBF" w:rsidRDefault="0083111B" w:rsidP="00D54DBF">
      <w:pPr>
        <w:pStyle w:val="a9"/>
        <w:spacing w:line="320" w:lineRule="exact"/>
        <w:ind w:left="442"/>
        <w:rPr>
          <w:sz w:val="24"/>
          <w:szCs w:val="28"/>
        </w:rPr>
      </w:pPr>
      <w:r w:rsidRPr="002E24F4">
        <w:rPr>
          <w:b/>
          <w:bCs/>
          <w:i/>
          <w:iCs/>
          <w:smallCaps/>
          <w:color w:val="002060"/>
          <w:sz w:val="28"/>
          <w:szCs w:val="32"/>
        </w:rPr>
        <w:t>Scope: </w:t>
      </w:r>
      <w:r w:rsidRPr="00D54DBF">
        <w:rPr>
          <w:sz w:val="24"/>
          <w:szCs w:val="28"/>
        </w:rPr>
        <w:t>A broad session for studies not covered elsewhere, including novel methodologies, instrument developments, and regional seismicity reports.</w:t>
      </w:r>
    </w:p>
    <w:p w14:paraId="22899B9C" w14:textId="77777777" w:rsidR="00E046BB" w:rsidRPr="00D54DBF" w:rsidRDefault="00E046BB" w:rsidP="00D54DBF">
      <w:pPr>
        <w:pStyle w:val="a9"/>
        <w:spacing w:line="320" w:lineRule="exact"/>
        <w:ind w:left="442"/>
        <w:rPr>
          <w:sz w:val="24"/>
          <w:szCs w:val="28"/>
        </w:rPr>
      </w:pPr>
    </w:p>
    <w:p w14:paraId="142369AB" w14:textId="77777777" w:rsidR="00E046BB" w:rsidRDefault="00E046BB" w:rsidP="00D54DBF">
      <w:pPr>
        <w:pStyle w:val="1"/>
        <w:spacing w:before="156" w:after="156"/>
      </w:pPr>
      <w:r w:rsidRPr="00E046BB">
        <w:t>Regional and Local Strong Ground Motion Models</w:t>
      </w:r>
    </w:p>
    <w:p w14:paraId="2D998F3A" w14:textId="77777777" w:rsidR="0083111B" w:rsidRPr="00D54DBF" w:rsidRDefault="0083111B" w:rsidP="00D54DBF">
      <w:pPr>
        <w:pStyle w:val="a9"/>
        <w:spacing w:line="320" w:lineRule="exact"/>
        <w:ind w:left="442"/>
        <w:rPr>
          <w:sz w:val="24"/>
          <w:szCs w:val="28"/>
        </w:rPr>
      </w:pPr>
      <w:r w:rsidRPr="002E24F4">
        <w:rPr>
          <w:b/>
          <w:bCs/>
          <w:i/>
          <w:iCs/>
          <w:smallCaps/>
          <w:color w:val="002060"/>
          <w:sz w:val="28"/>
          <w:szCs w:val="32"/>
        </w:rPr>
        <w:t>Scope:</w:t>
      </w:r>
      <w:r w:rsidRPr="00D54DBF">
        <w:rPr>
          <w:sz w:val="24"/>
          <w:szCs w:val="28"/>
        </w:rPr>
        <w:t> Focuses on developing and validating region-specific ground-motion models (GMMs) for seismic hazard applications. Topics include site effects, basin amplification, and hybrid empirical approaches.</w:t>
      </w:r>
    </w:p>
    <w:p w14:paraId="77187032" w14:textId="77777777" w:rsidR="00E046BB" w:rsidRPr="00D54DBF" w:rsidRDefault="00E046BB" w:rsidP="00D54DBF">
      <w:pPr>
        <w:pStyle w:val="a9"/>
        <w:spacing w:line="320" w:lineRule="exact"/>
        <w:ind w:left="442"/>
        <w:rPr>
          <w:sz w:val="24"/>
          <w:szCs w:val="28"/>
        </w:rPr>
      </w:pPr>
    </w:p>
    <w:p w14:paraId="7F951CFB" w14:textId="77777777" w:rsidR="00E046BB" w:rsidRDefault="00E046BB" w:rsidP="00D54DBF">
      <w:pPr>
        <w:pStyle w:val="1"/>
        <w:spacing w:before="156" w:after="156"/>
      </w:pPr>
      <w:r w:rsidRPr="00E046BB">
        <w:t>Engineering Seismology Case Studies</w:t>
      </w:r>
    </w:p>
    <w:p w14:paraId="1685BBE7" w14:textId="77777777" w:rsidR="0083111B" w:rsidRPr="00D54DBF" w:rsidRDefault="0083111B" w:rsidP="00D54DBF">
      <w:pPr>
        <w:pStyle w:val="a9"/>
        <w:spacing w:line="320" w:lineRule="exact"/>
        <w:ind w:left="442"/>
        <w:rPr>
          <w:sz w:val="24"/>
          <w:szCs w:val="28"/>
        </w:rPr>
      </w:pPr>
      <w:r w:rsidRPr="002E24F4">
        <w:rPr>
          <w:b/>
          <w:bCs/>
          <w:i/>
          <w:iCs/>
          <w:smallCaps/>
          <w:color w:val="002060"/>
          <w:sz w:val="28"/>
          <w:szCs w:val="32"/>
        </w:rPr>
        <w:t>Scope:</w:t>
      </w:r>
      <w:r w:rsidRPr="00D54DBF">
        <w:rPr>
          <w:sz w:val="24"/>
          <w:szCs w:val="28"/>
        </w:rPr>
        <w:t> Presents detailed analyses of ground motions and structural damage from recent earthquakes. Emphasis on data-driven insights for improving engineering practices.</w:t>
      </w:r>
    </w:p>
    <w:p w14:paraId="70EB2E27" w14:textId="77777777" w:rsidR="00E046BB" w:rsidRPr="002E24F4" w:rsidRDefault="00E046BB" w:rsidP="00D54DBF">
      <w:pPr>
        <w:pStyle w:val="a9"/>
        <w:spacing w:line="320" w:lineRule="exact"/>
        <w:ind w:left="442"/>
        <w:rPr>
          <w:sz w:val="24"/>
          <w:szCs w:val="28"/>
        </w:rPr>
      </w:pPr>
    </w:p>
    <w:p w14:paraId="095687EE" w14:textId="77777777" w:rsidR="00057B35" w:rsidRDefault="00E046BB" w:rsidP="00D54DBF">
      <w:pPr>
        <w:pStyle w:val="1"/>
        <w:spacing w:before="156" w:after="156"/>
      </w:pPr>
      <w:r w:rsidRPr="00E046BB">
        <w:t>From historical earthquakes to internet macro</w:t>
      </w:r>
      <w:r>
        <w:rPr>
          <w:rFonts w:hint="eastAsia"/>
        </w:rPr>
        <w:t>-</w:t>
      </w:r>
      <w:r w:rsidRPr="00E046BB">
        <w:t>seismology</w:t>
      </w:r>
    </w:p>
    <w:p w14:paraId="57A96F61" w14:textId="77777777" w:rsidR="0083111B" w:rsidRPr="00D54DBF" w:rsidRDefault="0083111B" w:rsidP="00D54DBF">
      <w:pPr>
        <w:pStyle w:val="a9"/>
        <w:spacing w:line="320" w:lineRule="exact"/>
        <w:ind w:left="442"/>
        <w:rPr>
          <w:sz w:val="24"/>
          <w:szCs w:val="28"/>
        </w:rPr>
      </w:pPr>
      <w:r w:rsidRPr="002E24F4">
        <w:rPr>
          <w:b/>
          <w:bCs/>
          <w:i/>
          <w:iCs/>
          <w:smallCaps/>
          <w:color w:val="002060"/>
          <w:sz w:val="28"/>
          <w:szCs w:val="32"/>
        </w:rPr>
        <w:t>Scope: </w:t>
      </w:r>
      <w:r w:rsidRPr="00D54DBF">
        <w:rPr>
          <w:sz w:val="24"/>
          <w:szCs w:val="28"/>
        </w:rPr>
        <w:t>Bridges traditional macroseismic data (intensity reports) with modern crowdsourcing (e.g., social media, smartphone apps). Discussions on data quality, automation, and applications for rapid impact assessment.</w:t>
      </w:r>
    </w:p>
    <w:p w14:paraId="1A22C5BD" w14:textId="77777777" w:rsidR="002E24F4" w:rsidRPr="002E24F4" w:rsidRDefault="002E24F4" w:rsidP="002E24F4">
      <w:pPr>
        <w:pStyle w:val="a9"/>
        <w:ind w:left="440"/>
        <w:rPr>
          <w:sz w:val="24"/>
          <w:szCs w:val="28"/>
        </w:rPr>
      </w:pPr>
    </w:p>
    <w:p w14:paraId="4308B3E9" w14:textId="77777777" w:rsidR="0083111B" w:rsidRPr="0083111B" w:rsidRDefault="0083111B" w:rsidP="0083111B"/>
    <w:p w14:paraId="3FEAB9BA" w14:textId="77777777" w:rsidR="0083111B" w:rsidRPr="0083111B" w:rsidRDefault="0083111B" w:rsidP="0083111B"/>
    <w:sectPr w:rsidR="0083111B" w:rsidRPr="008311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29275C"/>
    <w:multiLevelType w:val="hybridMultilevel"/>
    <w:tmpl w:val="810E7B12"/>
    <w:lvl w:ilvl="0" w:tplc="FD44DBF4">
      <w:start w:val="1"/>
      <w:numFmt w:val="decimalZero"/>
      <w:pStyle w:val="1"/>
      <w:lvlText w:val="S%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662979F0"/>
    <w:multiLevelType w:val="hybridMultilevel"/>
    <w:tmpl w:val="60A65E5C"/>
    <w:lvl w:ilvl="0" w:tplc="C3C625C2">
      <w:start w:val="1"/>
      <w:numFmt w:val="decimalZero"/>
      <w:lvlText w:val="S%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44208148">
    <w:abstractNumId w:val="1"/>
  </w:num>
  <w:num w:numId="2" w16cid:durableId="888152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bordersDoNotSurroundHeader/>
  <w:bordersDoNotSurroundFooter/>
  <w:hideSpellingErrors/>
  <w:hideGrammaticalErrors/>
  <w:defaultTabStop w:val="420"/>
  <w:hyphenationZone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6BB"/>
    <w:rsid w:val="0000408C"/>
    <w:rsid w:val="00057B35"/>
    <w:rsid w:val="001D0C93"/>
    <w:rsid w:val="002D2FBF"/>
    <w:rsid w:val="002E24F4"/>
    <w:rsid w:val="003000AD"/>
    <w:rsid w:val="003C3501"/>
    <w:rsid w:val="004A1AD6"/>
    <w:rsid w:val="00553143"/>
    <w:rsid w:val="005A5094"/>
    <w:rsid w:val="00654F92"/>
    <w:rsid w:val="00722E99"/>
    <w:rsid w:val="0079673F"/>
    <w:rsid w:val="0083111B"/>
    <w:rsid w:val="008B7A8E"/>
    <w:rsid w:val="008E502E"/>
    <w:rsid w:val="00924151"/>
    <w:rsid w:val="00941F9D"/>
    <w:rsid w:val="00A20748"/>
    <w:rsid w:val="00B554A4"/>
    <w:rsid w:val="00BC366D"/>
    <w:rsid w:val="00BC568D"/>
    <w:rsid w:val="00BE16A5"/>
    <w:rsid w:val="00CD7389"/>
    <w:rsid w:val="00D54DBF"/>
    <w:rsid w:val="00DB4C8C"/>
    <w:rsid w:val="00E046BB"/>
    <w:rsid w:val="00E1597C"/>
    <w:rsid w:val="00F72916"/>
    <w:rsid w:val="00FC7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57620"/>
  <w15:chartTrackingRefBased/>
  <w15:docId w15:val="{31CB6645-A719-4BBA-9D3D-7F4026967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autoRedefine/>
    <w:uiPriority w:val="9"/>
    <w:qFormat/>
    <w:rsid w:val="00D54DBF"/>
    <w:pPr>
      <w:keepNext/>
      <w:keepLines/>
      <w:numPr>
        <w:numId w:val="2"/>
      </w:numPr>
      <w:spacing w:beforeLines="50" w:before="50" w:afterLines="50" w:after="50" w:line="320" w:lineRule="exact"/>
      <w:ind w:left="0" w:firstLine="0"/>
      <w:outlineLvl w:val="0"/>
    </w:pPr>
    <w:rPr>
      <w:rFonts w:ascii="Arial" w:eastAsiaTheme="majorEastAsia" w:hAnsi="Arial" w:cs="Arial"/>
      <w:color w:val="0070C0"/>
      <w:sz w:val="28"/>
      <w:szCs w:val="28"/>
    </w:rPr>
  </w:style>
  <w:style w:type="paragraph" w:styleId="2">
    <w:name w:val="heading 2"/>
    <w:basedOn w:val="a"/>
    <w:next w:val="a"/>
    <w:link w:val="20"/>
    <w:uiPriority w:val="9"/>
    <w:semiHidden/>
    <w:unhideWhenUsed/>
    <w:qFormat/>
    <w:rsid w:val="00E046BB"/>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E046BB"/>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E046BB"/>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E046BB"/>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E046BB"/>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E046BB"/>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46BB"/>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E046BB"/>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4DBF"/>
    <w:rPr>
      <w:rFonts w:ascii="Arial" w:eastAsiaTheme="majorEastAsia" w:hAnsi="Arial" w:cs="Arial"/>
      <w:color w:val="0070C0"/>
      <w:sz w:val="28"/>
      <w:szCs w:val="28"/>
    </w:rPr>
  </w:style>
  <w:style w:type="character" w:customStyle="1" w:styleId="20">
    <w:name w:val="标题 2 字符"/>
    <w:basedOn w:val="a0"/>
    <w:link w:val="2"/>
    <w:uiPriority w:val="9"/>
    <w:semiHidden/>
    <w:rsid w:val="00E046BB"/>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E046BB"/>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E046BB"/>
    <w:rPr>
      <w:rFonts w:cstheme="majorBidi"/>
      <w:color w:val="0F4761" w:themeColor="accent1" w:themeShade="BF"/>
      <w:sz w:val="28"/>
      <w:szCs w:val="28"/>
    </w:rPr>
  </w:style>
  <w:style w:type="character" w:customStyle="1" w:styleId="50">
    <w:name w:val="标题 5 字符"/>
    <w:basedOn w:val="a0"/>
    <w:link w:val="5"/>
    <w:uiPriority w:val="9"/>
    <w:semiHidden/>
    <w:rsid w:val="00E046BB"/>
    <w:rPr>
      <w:rFonts w:cstheme="majorBidi"/>
      <w:color w:val="0F4761" w:themeColor="accent1" w:themeShade="BF"/>
      <w:sz w:val="24"/>
      <w:szCs w:val="24"/>
    </w:rPr>
  </w:style>
  <w:style w:type="character" w:customStyle="1" w:styleId="60">
    <w:name w:val="标题 6 字符"/>
    <w:basedOn w:val="a0"/>
    <w:link w:val="6"/>
    <w:uiPriority w:val="9"/>
    <w:semiHidden/>
    <w:rsid w:val="00E046BB"/>
    <w:rPr>
      <w:rFonts w:cstheme="majorBidi"/>
      <w:b/>
      <w:bCs/>
      <w:color w:val="0F4761" w:themeColor="accent1" w:themeShade="BF"/>
    </w:rPr>
  </w:style>
  <w:style w:type="character" w:customStyle="1" w:styleId="70">
    <w:name w:val="标题 7 字符"/>
    <w:basedOn w:val="a0"/>
    <w:link w:val="7"/>
    <w:uiPriority w:val="9"/>
    <w:semiHidden/>
    <w:rsid w:val="00E046BB"/>
    <w:rPr>
      <w:rFonts w:cstheme="majorBidi"/>
      <w:b/>
      <w:bCs/>
      <w:color w:val="595959" w:themeColor="text1" w:themeTint="A6"/>
    </w:rPr>
  </w:style>
  <w:style w:type="character" w:customStyle="1" w:styleId="80">
    <w:name w:val="标题 8 字符"/>
    <w:basedOn w:val="a0"/>
    <w:link w:val="8"/>
    <w:uiPriority w:val="9"/>
    <w:semiHidden/>
    <w:rsid w:val="00E046BB"/>
    <w:rPr>
      <w:rFonts w:cstheme="majorBidi"/>
      <w:color w:val="595959" w:themeColor="text1" w:themeTint="A6"/>
    </w:rPr>
  </w:style>
  <w:style w:type="character" w:customStyle="1" w:styleId="90">
    <w:name w:val="标题 9 字符"/>
    <w:basedOn w:val="a0"/>
    <w:link w:val="9"/>
    <w:uiPriority w:val="9"/>
    <w:semiHidden/>
    <w:rsid w:val="00E046BB"/>
    <w:rPr>
      <w:rFonts w:eastAsiaTheme="majorEastAsia" w:cstheme="majorBidi"/>
      <w:color w:val="595959" w:themeColor="text1" w:themeTint="A6"/>
    </w:rPr>
  </w:style>
  <w:style w:type="paragraph" w:styleId="a3">
    <w:name w:val="Title"/>
    <w:basedOn w:val="a"/>
    <w:next w:val="a"/>
    <w:link w:val="a4"/>
    <w:uiPriority w:val="10"/>
    <w:qFormat/>
    <w:rsid w:val="00E046B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46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46B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46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46BB"/>
    <w:pPr>
      <w:spacing w:before="160" w:after="160"/>
      <w:jc w:val="center"/>
    </w:pPr>
    <w:rPr>
      <w:i/>
      <w:iCs/>
      <w:color w:val="404040" w:themeColor="text1" w:themeTint="BF"/>
    </w:rPr>
  </w:style>
  <w:style w:type="character" w:customStyle="1" w:styleId="a8">
    <w:name w:val="引用 字符"/>
    <w:basedOn w:val="a0"/>
    <w:link w:val="a7"/>
    <w:uiPriority w:val="29"/>
    <w:rsid w:val="00E046BB"/>
    <w:rPr>
      <w:i/>
      <w:iCs/>
      <w:color w:val="404040" w:themeColor="text1" w:themeTint="BF"/>
    </w:rPr>
  </w:style>
  <w:style w:type="paragraph" w:styleId="a9">
    <w:name w:val="List Paragraph"/>
    <w:basedOn w:val="a"/>
    <w:uiPriority w:val="34"/>
    <w:qFormat/>
    <w:rsid w:val="00E046BB"/>
    <w:pPr>
      <w:ind w:left="720"/>
      <w:contextualSpacing/>
    </w:pPr>
  </w:style>
  <w:style w:type="character" w:styleId="aa">
    <w:name w:val="Intense Emphasis"/>
    <w:basedOn w:val="a0"/>
    <w:uiPriority w:val="21"/>
    <w:qFormat/>
    <w:rsid w:val="00E046BB"/>
    <w:rPr>
      <w:i/>
      <w:iCs/>
      <w:color w:val="0F4761" w:themeColor="accent1" w:themeShade="BF"/>
    </w:rPr>
  </w:style>
  <w:style w:type="paragraph" w:styleId="ab">
    <w:name w:val="Intense Quote"/>
    <w:basedOn w:val="a"/>
    <w:next w:val="a"/>
    <w:link w:val="ac"/>
    <w:uiPriority w:val="30"/>
    <w:qFormat/>
    <w:rsid w:val="00E046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E046BB"/>
    <w:rPr>
      <w:i/>
      <w:iCs/>
      <w:color w:val="0F4761" w:themeColor="accent1" w:themeShade="BF"/>
    </w:rPr>
  </w:style>
  <w:style w:type="character" w:styleId="ad">
    <w:name w:val="Intense Reference"/>
    <w:basedOn w:val="a0"/>
    <w:uiPriority w:val="32"/>
    <w:qFormat/>
    <w:rsid w:val="00E046BB"/>
    <w:rPr>
      <w:b/>
      <w:bCs/>
      <w:smallCaps/>
      <w:color w:val="0F4761" w:themeColor="accent1" w:themeShade="BF"/>
      <w:spacing w:val="5"/>
    </w:rPr>
  </w:style>
  <w:style w:type="character" w:styleId="ae">
    <w:name w:val="Hyperlink"/>
    <w:basedOn w:val="a0"/>
    <w:uiPriority w:val="99"/>
    <w:unhideWhenUsed/>
    <w:rsid w:val="00BC366D"/>
    <w:rPr>
      <w:color w:val="467886" w:themeColor="hyperlink"/>
      <w:u w:val="single"/>
    </w:rPr>
  </w:style>
  <w:style w:type="character" w:styleId="af">
    <w:name w:val="Unresolved Mention"/>
    <w:basedOn w:val="a0"/>
    <w:uiPriority w:val="99"/>
    <w:semiHidden/>
    <w:unhideWhenUsed/>
    <w:rsid w:val="00BC366D"/>
    <w:rPr>
      <w:color w:val="605E5C"/>
      <w:shd w:val="clear" w:color="auto" w:fill="E1DFDD"/>
    </w:rPr>
  </w:style>
  <w:style w:type="character" w:styleId="af0">
    <w:name w:val="annotation reference"/>
    <w:basedOn w:val="a0"/>
    <w:uiPriority w:val="99"/>
    <w:semiHidden/>
    <w:unhideWhenUsed/>
    <w:rsid w:val="00B554A4"/>
    <w:rPr>
      <w:sz w:val="16"/>
      <w:szCs w:val="16"/>
    </w:rPr>
  </w:style>
  <w:style w:type="paragraph" w:styleId="af1">
    <w:name w:val="annotation text"/>
    <w:basedOn w:val="a"/>
    <w:link w:val="af2"/>
    <w:uiPriority w:val="99"/>
    <w:unhideWhenUsed/>
    <w:rsid w:val="00B554A4"/>
    <w:rPr>
      <w:sz w:val="20"/>
      <w:szCs w:val="20"/>
    </w:rPr>
  </w:style>
  <w:style w:type="character" w:customStyle="1" w:styleId="af2">
    <w:name w:val="批注文字 字符"/>
    <w:basedOn w:val="a0"/>
    <w:link w:val="af1"/>
    <w:uiPriority w:val="99"/>
    <w:rsid w:val="00B554A4"/>
    <w:rPr>
      <w:sz w:val="20"/>
      <w:szCs w:val="20"/>
    </w:rPr>
  </w:style>
  <w:style w:type="paragraph" w:styleId="af3">
    <w:name w:val="annotation subject"/>
    <w:basedOn w:val="af1"/>
    <w:next w:val="af1"/>
    <w:link w:val="af4"/>
    <w:uiPriority w:val="99"/>
    <w:semiHidden/>
    <w:unhideWhenUsed/>
    <w:rsid w:val="00B554A4"/>
    <w:rPr>
      <w:b/>
      <w:bCs/>
    </w:rPr>
  </w:style>
  <w:style w:type="character" w:customStyle="1" w:styleId="af4">
    <w:name w:val="批注主题 字符"/>
    <w:basedOn w:val="af2"/>
    <w:link w:val="af3"/>
    <w:uiPriority w:val="99"/>
    <w:semiHidden/>
    <w:rsid w:val="00B554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50443">
      <w:bodyDiv w:val="1"/>
      <w:marLeft w:val="0"/>
      <w:marRight w:val="0"/>
      <w:marTop w:val="0"/>
      <w:marBottom w:val="0"/>
      <w:divBdr>
        <w:top w:val="none" w:sz="0" w:space="0" w:color="auto"/>
        <w:left w:val="none" w:sz="0" w:space="0" w:color="auto"/>
        <w:bottom w:val="none" w:sz="0" w:space="0" w:color="auto"/>
        <w:right w:val="none" w:sz="0" w:space="0" w:color="auto"/>
      </w:divBdr>
    </w:div>
    <w:div w:id="89938570">
      <w:bodyDiv w:val="1"/>
      <w:marLeft w:val="0"/>
      <w:marRight w:val="0"/>
      <w:marTop w:val="0"/>
      <w:marBottom w:val="0"/>
      <w:divBdr>
        <w:top w:val="none" w:sz="0" w:space="0" w:color="auto"/>
        <w:left w:val="none" w:sz="0" w:space="0" w:color="auto"/>
        <w:bottom w:val="none" w:sz="0" w:space="0" w:color="auto"/>
        <w:right w:val="none" w:sz="0" w:space="0" w:color="auto"/>
      </w:divBdr>
    </w:div>
    <w:div w:id="94249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lygarce@cea-igp.ac.c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935</Words>
  <Characters>5330</Characters>
  <Application>Microsoft Office Word</Application>
  <DocSecurity>0</DocSecurity>
  <Lines>44</Lines>
  <Paragraphs>12</Paragraphs>
  <ScaleCrop>false</ScaleCrop>
  <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Li</dc:creator>
  <cp:keywords/>
  <dc:description/>
  <cp:lastModifiedBy>阿牛哥</cp:lastModifiedBy>
  <cp:revision>2</cp:revision>
  <dcterms:created xsi:type="dcterms:W3CDTF">2025-06-07T08:22:00Z</dcterms:created>
  <dcterms:modified xsi:type="dcterms:W3CDTF">2025-06-07T08:22:00Z</dcterms:modified>
</cp:coreProperties>
</file>